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" w:hAnsi="Arial" w:cs="Arial" w:eastAsiaTheme="minorEastAsia"/>
          <w:b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Arial" w:hAnsi="Arial" w:cs="Arial"/>
          <w:b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  <w:t>2020年成人高考专升本《民法》考纲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《考试大纲》详细规定了各专业考试科目的要求、考试范围、考试题型、分值分布、试卷难易比例等内容，准备参加今年成人高考的考生可参照《考试大纲》复习备考。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2020年全国成人高校招生统考科目复习考试大纲继续使用2011年版《全国各类成人高等学校招生复习考试大纲》。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一、考试内容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第一部分总论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 民法概述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2、民事法律关系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3、自然人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4、法人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5、合伙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6、民事行为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7、代理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8、诉讼时效和期限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第二部分物权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1、物权概述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2、物权的变动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3、所有权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4、用益物权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5、担保物权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6、占 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第三部分债权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1、债的概述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2、合 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第四部分人身权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1、人身权概述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2、人格权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3、身份权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第五部分婚姻家庭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 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2、亲属关系原理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3、结婚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4、夫妻关系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 离婚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6、父母子女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7、收养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第六部分继承权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1、继承权概述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2、法定继承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3、遗嘱继承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 遗产的处理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第七部分民事责任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1、民事责任概述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 缔约过失责任与违约责任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3、侵权责任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二、试卷结构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试卷总分：150分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考试方式闭卷，笔试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试卷题型比例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选择题(单选题)  35题; 每题2分; 总计70分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简答题               3题;每题10分; 总计30分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论述题               1题;每题20分; 总计20分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案例分析题        2题;每题15分;总计30分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试题难易比例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容易题            约30%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中等难度题     约50%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较难题            约20%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23C34B0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2357778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1B43676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4E22714"/>
    <w:rsid w:val="35D015C5"/>
    <w:rsid w:val="361B15A7"/>
    <w:rsid w:val="362D19D9"/>
    <w:rsid w:val="36BD5A1D"/>
    <w:rsid w:val="36F80781"/>
    <w:rsid w:val="379907F5"/>
    <w:rsid w:val="38CB37FB"/>
    <w:rsid w:val="392D455E"/>
    <w:rsid w:val="39482061"/>
    <w:rsid w:val="39DB3D2F"/>
    <w:rsid w:val="3B710702"/>
    <w:rsid w:val="3BA72D9D"/>
    <w:rsid w:val="3D7666D0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07414A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483D92"/>
    <w:rsid w:val="78905A81"/>
    <w:rsid w:val="78CC6457"/>
    <w:rsid w:val="7C1663BA"/>
    <w:rsid w:val="7D684C03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2020-03-28T05:52:40Z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